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SK1 2015 36 vom 13. Juni 2017</w:t>
      </w:r>
    </w:p>
    <w:p>
      <w:r>
        <w:t>GR Gerichte, 2017-06-13, DE</w:t>
      </w:r>
    </w:p>
    <w:p>
      <w:r>
        <w:rPr>
          <w:b/>
        </w:rPr>
        <w:t xml:space="preserve">Quelle: </w:t>
      </w:r>
      <w:r>
        <w:t>https://mcp.opencaselaw.ch/entscheid/gr_gerichte_SK1 2015 36</w:t>
      </w:r>
    </w:p>
    <w:p>
      <w:r>
        <w:t>FR: GR_GERICHTE SK1 2015 36 du 13 juin 2017</w:t>
      </w:r>
    </w:p>
    <w:p>
      <w:r>
        <w:t>IT: GR_GERICHTE SK1 2015 36 del 13 giugno 2017</w:t>
      </w:r>
    </w:p>
    <w:p>
      <w:pPr>
        <w:pStyle w:val="Heading2"/>
      </w:pPr>
      <w:r>
        <w:t>Regeste</w:t>
      </w:r>
    </w:p>
    <w:p>
      <w:r>
        <w:t>Betrug etc. | StGB 137-172 Vermögen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Die Strafbehörden können ihre Forderungen aus Verfahrenskosten mit Ent- schädigungsansprüchen der zahlungspflichtigen Partei aus dem gleichen Strafver- fahren sowie mit beschlagnahmten Vermögenswerten verrechnen (vgl. Art. 442 Abs. 4 StPO). Gestützt auf diese Bestimmung sind die von X._____ geschuldeten Verfahrenskosten in der Höhe von CHF 2'567.05 (CHF 1'567.05 + CHF 1'000.00) mit der ihm zugesprochenen Entschädigung in der Höhe von CHF 4'137.70 zu verrechnen. Damit hat der Kanton Graubünden den Berufungskläger per Saldo mit CHF 1'570.65 zu entschädigen.</w:t>
      </w:r>
    </w:p>
    <w:p>
      <w:r>
        <w:t>Seite 41 — 42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